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C20ABA" w14:textId="77777777" w:rsidR="00AD6FEE" w:rsidRDefault="00AD6FEE" w:rsidP="00AD6FEE">
      <w:pPr>
        <w:pStyle w:val="TableFigure"/>
      </w:pPr>
      <w:bookmarkStart w:id="0" w:name="_GoBack"/>
      <w:bookmarkEnd w:id="0"/>
    </w:p>
    <w:p w14:paraId="2772E452" w14:textId="77777777" w:rsidR="00AD6FEE" w:rsidRDefault="00AD6FEE" w:rsidP="00AD6FEE">
      <w:pPr>
        <w:pStyle w:val="TableFigure"/>
      </w:pPr>
    </w:p>
    <w:p w14:paraId="1183E0E5" w14:textId="77777777" w:rsidR="00AD6FEE" w:rsidRDefault="00AD6FEE" w:rsidP="00AD6FEE">
      <w:pPr>
        <w:pStyle w:val="TableFigure"/>
        <w:jc w:val="center"/>
      </w:pPr>
    </w:p>
    <w:p w14:paraId="3B95AB12" w14:textId="4703E94A" w:rsidR="00AD6FEE" w:rsidRDefault="002F64AF" w:rsidP="00F744D8">
      <w:pPr>
        <w:pStyle w:val="TableFigure"/>
        <w:spacing w:before="100" w:beforeAutospacing="1" w:after="100" w:afterAutospacing="1"/>
        <w:contextualSpacing w:val="0"/>
        <w:jc w:val="center"/>
      </w:pPr>
      <w:r>
        <w:t>IMPACTS OF THE TWENTIETH CENTURY TODAY</w:t>
      </w:r>
    </w:p>
    <w:p w14:paraId="19AD8C89" w14:textId="77777777" w:rsidR="00AD6FEE" w:rsidRDefault="00AD6FEE" w:rsidP="00AD6FEE">
      <w:pPr>
        <w:pStyle w:val="TableFigure"/>
        <w:jc w:val="center"/>
      </w:pPr>
    </w:p>
    <w:p w14:paraId="6FBCCA8F" w14:textId="77777777" w:rsidR="002401D2" w:rsidRDefault="002401D2" w:rsidP="00AD6FEE">
      <w:pPr>
        <w:pStyle w:val="TableFigure"/>
        <w:jc w:val="center"/>
      </w:pPr>
    </w:p>
    <w:p w14:paraId="38B3B5B4" w14:textId="77777777" w:rsidR="002401D2" w:rsidRDefault="002401D2" w:rsidP="00AD6FEE">
      <w:pPr>
        <w:pStyle w:val="TableFigure"/>
        <w:jc w:val="center"/>
      </w:pPr>
    </w:p>
    <w:p w14:paraId="614E87A4" w14:textId="77777777" w:rsidR="002401D2" w:rsidRDefault="002401D2" w:rsidP="00AD6FEE">
      <w:pPr>
        <w:pStyle w:val="TableFigure"/>
        <w:jc w:val="center"/>
      </w:pPr>
    </w:p>
    <w:p w14:paraId="1CB682D6" w14:textId="77777777" w:rsidR="002401D2" w:rsidRDefault="002401D2" w:rsidP="00AD6FEE">
      <w:pPr>
        <w:pStyle w:val="TableFigure"/>
        <w:jc w:val="center"/>
      </w:pPr>
    </w:p>
    <w:p w14:paraId="252FFF0A" w14:textId="77777777" w:rsidR="00AD6FEE" w:rsidRDefault="00AD6FEE" w:rsidP="00AD6FEE">
      <w:pPr>
        <w:pStyle w:val="TableFigure"/>
        <w:jc w:val="center"/>
      </w:pPr>
    </w:p>
    <w:p w14:paraId="6588332B" w14:textId="31F528EE" w:rsidR="00AD6FEE" w:rsidRDefault="002F64AF" w:rsidP="00AD6FEE">
      <w:pPr>
        <w:pStyle w:val="TableFigure"/>
        <w:jc w:val="center"/>
      </w:pPr>
      <w:r>
        <w:t>Student’s Name</w:t>
      </w:r>
    </w:p>
    <w:p w14:paraId="125DA6FB" w14:textId="633302D1" w:rsidR="00AD6FEE" w:rsidRDefault="002F64AF" w:rsidP="00AD6FEE">
      <w:pPr>
        <w:pStyle w:val="TableFigure"/>
        <w:jc w:val="center"/>
      </w:pPr>
      <w:r>
        <w:t>Course ID</w:t>
      </w:r>
    </w:p>
    <w:p w14:paraId="4A38317E" w14:textId="15AAB903" w:rsidR="00AD6FEE" w:rsidRDefault="002F64AF" w:rsidP="00AD6FEE">
      <w:pPr>
        <w:pStyle w:val="TableFigure"/>
        <w:jc w:val="center"/>
      </w:pPr>
      <w:r>
        <w:t>Date</w:t>
      </w:r>
    </w:p>
    <w:p w14:paraId="64150FA2" w14:textId="77777777" w:rsidR="00AD6FEE" w:rsidRDefault="002F64AF">
      <w:r>
        <w:br w:type="page"/>
      </w:r>
    </w:p>
    <w:p w14:paraId="1705A527" w14:textId="5BEBDA31" w:rsidR="00AD6FEE" w:rsidRDefault="002F64AF" w:rsidP="002401D2">
      <w:pPr>
        <w:pStyle w:val="TableFigure"/>
        <w:spacing w:before="100" w:beforeAutospacing="1" w:after="100" w:afterAutospacing="1"/>
        <w:contextualSpacing w:val="0"/>
        <w:jc w:val="center"/>
      </w:pPr>
      <w:r>
        <w:lastRenderedPageBreak/>
        <w:t>Impacts of t</w:t>
      </w:r>
      <w:r w:rsidR="0027720F">
        <w:t>he Twentieth Century</w:t>
      </w:r>
      <w:r>
        <w:t xml:space="preserve"> today</w:t>
      </w:r>
    </w:p>
    <w:p w14:paraId="34AC143A" w14:textId="77777777" w:rsidR="002401D2" w:rsidRDefault="002F64AF" w:rsidP="002401D2">
      <w:pPr>
        <w:pStyle w:val="TableFigure"/>
        <w:spacing w:before="100" w:beforeAutospacing="1" w:after="100" w:afterAutospacing="1"/>
        <w:contextualSpacing w:val="0"/>
        <w:jc w:val="center"/>
        <w:rPr>
          <w:b/>
          <w:bCs/>
        </w:rPr>
      </w:pPr>
      <w:r w:rsidRPr="00D20EA3">
        <w:rPr>
          <w:b/>
          <w:bCs/>
        </w:rPr>
        <w:t>Introduction</w:t>
      </w:r>
    </w:p>
    <w:p w14:paraId="023C681C" w14:textId="4890CB03" w:rsidR="00AD6FEE" w:rsidRPr="002401D2" w:rsidRDefault="002F64AF" w:rsidP="002401D2">
      <w:pPr>
        <w:pStyle w:val="TableFigure"/>
        <w:spacing w:before="100" w:beforeAutospacing="1" w:after="100" w:afterAutospacing="1"/>
        <w:ind w:firstLine="720"/>
        <w:contextualSpacing w:val="0"/>
        <w:rPr>
          <w:b/>
          <w:bCs/>
        </w:rPr>
      </w:pPr>
      <w:r>
        <w:t xml:space="preserve">The twentieth Century began back in the1900 and ended at the commencement of the year 2000. The century was characterized by diverse activities and events that changed the grounds of </w:t>
      </w:r>
      <w:r w:rsidR="00BA61EA">
        <w:t xml:space="preserve">various </w:t>
      </w:r>
      <w:r w:rsidR="003563B1">
        <w:t>sectors of the world</w:t>
      </w:r>
      <w:r>
        <w:t>.</w:t>
      </w:r>
      <w:r w:rsidR="0024566B">
        <w:t xml:space="preserve"> Some </w:t>
      </w:r>
      <w:r w:rsidR="003F1E96">
        <w:t>occurrences</w:t>
      </w:r>
      <w:r w:rsidR="0024566B">
        <w:t xml:space="preserve"> of this century were a success that profoundly defined future advancements while some were failures that have defined major </w:t>
      </w:r>
      <w:r w:rsidR="003F1E96">
        <w:t>catastrophes</w:t>
      </w:r>
      <w:r w:rsidR="0024566B">
        <w:t>.</w:t>
      </w:r>
      <w:r w:rsidR="003F1E96">
        <w:t xml:space="preserve"> The twentieth century marked the most transformational century with the most breathtaking events</w:t>
      </w:r>
      <w:r w:rsidR="00D94C55">
        <w:t xml:space="preserve"> </w:t>
      </w:r>
      <w:r>
        <w:rPr>
          <w:rStyle w:val="FootnoteReference"/>
        </w:rPr>
        <w:footnoteReference w:id="1"/>
      </w:r>
      <w:r w:rsidR="003F1E96">
        <w:t>.</w:t>
      </w:r>
      <w:r w:rsidR="00DE3D67">
        <w:t xml:space="preserve"> How then did these activities impact and reshap</w:t>
      </w:r>
      <w:r w:rsidR="003563B1">
        <w:t>e</w:t>
      </w:r>
      <w:r w:rsidR="00DE3D67">
        <w:t xml:space="preserve"> what we are dealing with in the twenty-first century?</w:t>
      </w:r>
      <w:r w:rsidR="003C6309">
        <w:t xml:space="preserve"> The 21</w:t>
      </w:r>
      <w:r w:rsidR="003C6309" w:rsidRPr="003C6309">
        <w:rPr>
          <w:vertAlign w:val="superscript"/>
        </w:rPr>
        <w:t>st</w:t>
      </w:r>
      <w:r w:rsidR="003C6309">
        <w:t xml:space="preserve"> century came immediately after the 20</w:t>
      </w:r>
      <w:r w:rsidR="003C6309" w:rsidRPr="003C6309">
        <w:rPr>
          <w:vertAlign w:val="superscript"/>
        </w:rPr>
        <w:t>th</w:t>
      </w:r>
      <w:r w:rsidR="003C6309">
        <w:t xml:space="preserve"> century and bore the consequences of the predecessor, some good but some bad.</w:t>
      </w:r>
      <w:r w:rsidR="00B47E4C">
        <w:t xml:space="preserve"> The success and failures of the twentieth century have defined the political, </w:t>
      </w:r>
      <w:r w:rsidR="006413B4">
        <w:t>economic,</w:t>
      </w:r>
      <w:r w:rsidR="00B47E4C">
        <w:t xml:space="preserve"> </w:t>
      </w:r>
      <w:r w:rsidR="006413B4">
        <w:t>technological</w:t>
      </w:r>
      <w:r w:rsidR="00DF093D">
        <w:t>,</w:t>
      </w:r>
      <w:r w:rsidR="006413B4">
        <w:t xml:space="preserve"> </w:t>
      </w:r>
      <w:r w:rsidR="00B47E4C">
        <w:t xml:space="preserve">and social issues that </w:t>
      </w:r>
      <w:r w:rsidR="00E93A6E">
        <w:t>people</w:t>
      </w:r>
      <w:r w:rsidR="00B47E4C">
        <w:t xml:space="preserve"> are dealing with in the </w:t>
      </w:r>
      <w:r w:rsidR="003563B1">
        <w:t>21</w:t>
      </w:r>
      <w:r w:rsidR="003563B1" w:rsidRPr="003563B1">
        <w:rPr>
          <w:vertAlign w:val="superscript"/>
        </w:rPr>
        <w:t>st</w:t>
      </w:r>
      <w:r w:rsidR="003563B1">
        <w:t xml:space="preserve"> </w:t>
      </w:r>
      <w:r w:rsidR="00B47E4C">
        <w:t>century.</w:t>
      </w:r>
    </w:p>
    <w:p w14:paraId="3ED28480" w14:textId="77777777" w:rsidR="002401D2" w:rsidRDefault="002F64AF" w:rsidP="002401D2">
      <w:pPr>
        <w:pStyle w:val="TableFigure"/>
        <w:spacing w:before="100" w:beforeAutospacing="1" w:after="100" w:afterAutospacing="1"/>
        <w:contextualSpacing w:val="0"/>
        <w:jc w:val="center"/>
        <w:rPr>
          <w:b/>
          <w:bCs/>
        </w:rPr>
      </w:pPr>
      <w:r>
        <w:rPr>
          <w:b/>
          <w:bCs/>
        </w:rPr>
        <w:t>The Impacts of the 20</w:t>
      </w:r>
      <w:r w:rsidRPr="00F744D8">
        <w:rPr>
          <w:b/>
          <w:bCs/>
          <w:vertAlign w:val="superscript"/>
        </w:rPr>
        <w:t>TH</w:t>
      </w:r>
      <w:r>
        <w:rPr>
          <w:b/>
          <w:bCs/>
        </w:rPr>
        <w:t xml:space="preserve"> Century</w:t>
      </w:r>
    </w:p>
    <w:p w14:paraId="683D7177" w14:textId="77777777" w:rsidR="002401D2" w:rsidRDefault="002F64AF" w:rsidP="002401D2">
      <w:pPr>
        <w:pStyle w:val="TableFigure"/>
        <w:spacing w:before="100" w:beforeAutospacing="1" w:after="100" w:afterAutospacing="1"/>
        <w:ind w:firstLine="720"/>
        <w:contextualSpacing w:val="0"/>
        <w:rPr>
          <w:b/>
          <w:bCs/>
        </w:rPr>
      </w:pPr>
      <w:r>
        <w:t>The</w:t>
      </w:r>
      <w:r w:rsidR="00843609">
        <w:t xml:space="preserve"> world wars </w:t>
      </w:r>
      <w:r>
        <w:t xml:space="preserve">and the cold war </w:t>
      </w:r>
      <w:r w:rsidR="00843609">
        <w:t>took place in the twentieth century as the most significant events of the period. About 100 million people died with others like the Japanese left to nurse lasting effects</w:t>
      </w:r>
      <w:r w:rsidR="00DD2677">
        <w:t xml:space="preserve"> of the nuclear bombs in Nagasaki</w:t>
      </w:r>
      <w:r w:rsidR="00D94C55">
        <w:t xml:space="preserve"> </w:t>
      </w:r>
      <w:r>
        <w:rPr>
          <w:rStyle w:val="FootnoteReference"/>
        </w:rPr>
        <w:footnoteReference w:id="2"/>
      </w:r>
      <w:r w:rsidR="00DD2677">
        <w:t xml:space="preserve">. The wars were a foundation </w:t>
      </w:r>
      <w:r w:rsidR="00DF093D">
        <w:t>for</w:t>
      </w:r>
      <w:r w:rsidR="00DD2677">
        <w:t xml:space="preserve"> </w:t>
      </w:r>
      <w:r w:rsidR="00DF093D">
        <w:t xml:space="preserve">the </w:t>
      </w:r>
      <w:r w:rsidR="00DD2677">
        <w:t xml:space="preserve">politics of power rather than politics of service. Many countries developed </w:t>
      </w:r>
      <w:r w:rsidR="00DF093D">
        <w:t xml:space="preserve">a </w:t>
      </w:r>
      <w:r w:rsidR="00DD2677">
        <w:t>hatred for others while others rose to acquire military and economic powers.</w:t>
      </w:r>
      <w:r w:rsidR="00B648B8">
        <w:t xml:space="preserve"> The USA, for example, rose as a </w:t>
      </w:r>
      <w:r w:rsidR="00B648B8">
        <w:lastRenderedPageBreak/>
        <w:t>world superpower after the wars. Currently, politics in the twenty-first century are based on power, with leaders willing to do what can give their country superiority. Inversely, the century has seen the rise of dictators who sought power for themselves rather than democracy for their people.</w:t>
      </w:r>
      <w:r w:rsidR="000B4060">
        <w:t xml:space="preserve"> The wars too led to the rise of Communism and Capitalism regimes which have defined world politics up to date. </w:t>
      </w:r>
      <w:r w:rsidR="00DF093D">
        <w:t>Besides</w:t>
      </w:r>
      <w:r w:rsidR="000B4060">
        <w:t>, the wars increased insecurity for some countries that suffered the most</w:t>
      </w:r>
      <w:r w:rsidR="00D94C55">
        <w:t xml:space="preserve"> </w:t>
      </w:r>
      <w:r>
        <w:rPr>
          <w:rStyle w:val="FootnoteReference"/>
        </w:rPr>
        <w:footnoteReference w:id="3"/>
      </w:r>
      <w:r w:rsidR="000B4060">
        <w:t>. Currently, these countries are trying their level best to empower their military systems to avoid future wars, some of these countries include; Japan, Israel</w:t>
      </w:r>
      <w:r w:rsidR="00DF093D">
        <w:t>,</w:t>
      </w:r>
      <w:r w:rsidR="000B4060">
        <w:t xml:space="preserve"> and South Korea.</w:t>
      </w:r>
    </w:p>
    <w:p w14:paraId="5909C360" w14:textId="77777777" w:rsidR="002401D2" w:rsidRDefault="002F64AF" w:rsidP="002401D2">
      <w:pPr>
        <w:pStyle w:val="TableFigure"/>
        <w:spacing w:before="100" w:beforeAutospacing="1" w:after="100" w:afterAutospacing="1"/>
        <w:ind w:firstLine="720"/>
        <w:contextualSpacing w:val="0"/>
      </w:pPr>
      <w:r>
        <w:t xml:space="preserve">Racism was one </w:t>
      </w:r>
      <w:r w:rsidR="00DF093D">
        <w:t>of</w:t>
      </w:r>
      <w:r>
        <w:t xml:space="preserve"> t</w:t>
      </w:r>
      <w:r>
        <w:t>he things that the 21</w:t>
      </w:r>
      <w:r w:rsidRPr="00BF2676">
        <w:rPr>
          <w:vertAlign w:val="superscript"/>
        </w:rPr>
        <w:t>st</w:t>
      </w:r>
      <w:r>
        <w:t xml:space="preserve"> century inherited from the 20</w:t>
      </w:r>
      <w:r w:rsidRPr="00BF2676">
        <w:rPr>
          <w:vertAlign w:val="superscript"/>
        </w:rPr>
        <w:t>th</w:t>
      </w:r>
      <w:r>
        <w:t xml:space="preserve"> century. People were defined by color and country of origin in the 90s. The attitude was so serious that it led to slavery in the USA and the horrible Holocaust during the world wars. The blacks in Am</w:t>
      </w:r>
      <w:r>
        <w:t>erica were treated like machines of work rather than human beings</w:t>
      </w:r>
      <w:r w:rsidR="00D94C55">
        <w:t xml:space="preserve"> </w:t>
      </w:r>
      <w:r>
        <w:rPr>
          <w:rStyle w:val="FootnoteReference"/>
        </w:rPr>
        <w:footnoteReference w:id="4"/>
      </w:r>
      <w:r>
        <w:t>. The impact of this is the emergency of racially based politics that have greatly suppressed democracy. Currently, racism is a criminal act that can see someone to the chambers of the cour</w:t>
      </w:r>
      <w:r>
        <w:t>t. The world is struggling to have a balanced existence of humanity without racism</w:t>
      </w:r>
      <w:r w:rsidR="00D94C55">
        <w:t xml:space="preserve"> </w:t>
      </w:r>
      <w:r>
        <w:rPr>
          <w:rStyle w:val="FootnoteReference"/>
        </w:rPr>
        <w:footnoteReference w:id="5"/>
      </w:r>
      <w:r>
        <w:t>. However, the niche left by the racial discrimination of the black people in the USA led to hate that has long endured even after laws and policies were put in place to co</w:t>
      </w:r>
      <w:r>
        <w:t>mbat racism. The Jews, on the other hand, can never forget what happened when 6 million Jews were barbarically killed in the world war 1 holocaust by the NAZI.</w:t>
      </w:r>
    </w:p>
    <w:p w14:paraId="2A0A1F0C" w14:textId="77777777" w:rsidR="002401D2" w:rsidRDefault="002F64AF" w:rsidP="002401D2">
      <w:pPr>
        <w:pStyle w:val="TableFigure"/>
        <w:spacing w:before="100" w:beforeAutospacing="1" w:after="100" w:afterAutospacing="1"/>
        <w:ind w:firstLine="720"/>
        <w:contextualSpacing w:val="0"/>
        <w:rPr>
          <w:b/>
          <w:bCs/>
        </w:rPr>
      </w:pPr>
      <w:r>
        <w:lastRenderedPageBreak/>
        <w:t>Economically, the great depression took a cent</w:t>
      </w:r>
      <w:r w:rsidR="00DF093D">
        <w:t>ral</w:t>
      </w:r>
      <w:r>
        <w:t xml:space="preserve"> part in defining the twentieth</w:t>
      </w:r>
      <w:r w:rsidR="00DF093D">
        <w:t>-</w:t>
      </w:r>
      <w:r>
        <w:t>century history</w:t>
      </w:r>
      <w:r w:rsidR="004670D8">
        <w:t xml:space="preserve"> marked with </w:t>
      </w:r>
      <w:r w:rsidR="00DF093D">
        <w:t xml:space="preserve">a </w:t>
      </w:r>
      <w:r w:rsidR="004670D8">
        <w:t>decline in output, unemployment</w:t>
      </w:r>
      <w:r w:rsidR="00DF093D">
        <w:t>,</w:t>
      </w:r>
      <w:r w:rsidR="004670D8">
        <w:t xml:space="preserve"> and deflation</w:t>
      </w:r>
      <w:r>
        <w:t>. The incident happened from 1929 and went through to the 1930s.</w:t>
      </w:r>
      <w:r w:rsidR="00FC50B9">
        <w:t xml:space="preserve"> The catastrophe marked a 25 percent rate of unemployment with thousands of banks leaving business operations</w:t>
      </w:r>
      <w:r w:rsidR="00F075D7">
        <w:t xml:space="preserve"> which was a third of the USA banks</w:t>
      </w:r>
      <w:r w:rsidR="000C7203">
        <w:t xml:space="preserve"> </w:t>
      </w:r>
      <w:r>
        <w:rPr>
          <w:rStyle w:val="FootnoteReference"/>
        </w:rPr>
        <w:footnoteReference w:id="6"/>
      </w:r>
      <w:r w:rsidR="00FC50B9">
        <w:t>.</w:t>
      </w:r>
      <w:r w:rsidR="00507E99">
        <w:t xml:space="preserve"> The stock market too was caught unaware and immediately crashed in 1929.</w:t>
      </w:r>
      <w:r w:rsidR="00A448C4">
        <w:t xml:space="preserve"> An example is when the share of steel that had sold 262 dollars sold only 22 </w:t>
      </w:r>
      <w:r w:rsidR="00F075D7">
        <w:t>dollars</w:t>
      </w:r>
      <w:r w:rsidR="00A448C4">
        <w:t xml:space="preserve"> during the depression.</w:t>
      </w:r>
      <w:r w:rsidR="00F075D7">
        <w:t xml:space="preserve"> Even though it started in America, every country felt it </w:t>
      </w:r>
      <w:r w:rsidR="004670D8">
        <w:t>worldwide</w:t>
      </w:r>
      <w:r w:rsidR="00F075D7">
        <w:t>.</w:t>
      </w:r>
      <w:r w:rsidR="00886E53">
        <w:t xml:space="preserve"> The twenty</w:t>
      </w:r>
      <w:r w:rsidR="00DF093D">
        <w:t>-</w:t>
      </w:r>
      <w:r w:rsidR="00886E53">
        <w:t>first century has dealt with issues that were hugely defined by this economic downturn.</w:t>
      </w:r>
      <w:r w:rsidR="00023B61">
        <w:t xml:space="preserve"> The impact of the recession was the redefining</w:t>
      </w:r>
      <w:r w:rsidR="00DF093D">
        <w:t xml:space="preserve"> of</w:t>
      </w:r>
      <w:r w:rsidR="00023B61">
        <w:t xml:space="preserve"> the employment sector. Funny enough, the various labor that was in huge demands were wiped away with qualifications to acquire jobs increasingly changing</w:t>
      </w:r>
      <w:r w:rsidR="000C7203">
        <w:t xml:space="preserve"> </w:t>
      </w:r>
      <w:r>
        <w:rPr>
          <w:rStyle w:val="FootnoteReference"/>
        </w:rPr>
        <w:footnoteReference w:id="7"/>
      </w:r>
      <w:r w:rsidR="00023B61">
        <w:t>. Currently, middle</w:t>
      </w:r>
      <w:r w:rsidR="00DF093D">
        <w:t>-</w:t>
      </w:r>
      <w:r w:rsidR="00023B61">
        <w:t xml:space="preserve">class jobs are no longer required and salaries for these types of jobs have become undesirable. People require skills and papers to get good jobs. Similarly, the stock market is currently focused on continuous improvements. The other way in which this incident shaped the world economy is in how political leaders focused energy on </w:t>
      </w:r>
      <w:r w:rsidR="00DF093D">
        <w:t xml:space="preserve">the </w:t>
      </w:r>
      <w:r w:rsidR="00023B61">
        <w:t>economy. Governments are investing hugely to avoid being victims of economic crises such as the one that occurred in 1929.</w:t>
      </w:r>
    </w:p>
    <w:p w14:paraId="3BB05649" w14:textId="77777777" w:rsidR="002401D2" w:rsidRDefault="002F64AF" w:rsidP="002401D2">
      <w:pPr>
        <w:pStyle w:val="TableFigure"/>
        <w:spacing w:before="100" w:beforeAutospacing="1" w:after="100" w:afterAutospacing="1"/>
        <w:ind w:firstLine="720"/>
        <w:contextualSpacing w:val="0"/>
        <w:rPr>
          <w:b/>
          <w:bCs/>
        </w:rPr>
      </w:pPr>
      <w:r>
        <w:t>The twentieth century was not altogether bad and equa</w:t>
      </w:r>
      <w:r>
        <w:t>lly, build the foundation for some brilliant things that the world is celebrating in the current century.</w:t>
      </w:r>
      <w:r w:rsidR="00930311">
        <w:t xml:space="preserve"> The inventions of that period defined a whole new system of transport and communication that has made the world look as it is today. The airplane in 1903 by the </w:t>
      </w:r>
      <w:r w:rsidR="001343C3">
        <w:t>W</w:t>
      </w:r>
      <w:r w:rsidR="00930311">
        <w:t>rite brothers</w:t>
      </w:r>
      <w:r w:rsidR="001343C3">
        <w:t xml:space="preserve"> and the </w:t>
      </w:r>
      <w:r w:rsidR="007D3418">
        <w:t>automobile has</w:t>
      </w:r>
      <w:r w:rsidR="00930311">
        <w:t xml:space="preserve"> </w:t>
      </w:r>
      <w:r w:rsidR="001343C3">
        <w:t xml:space="preserve">defined transport and </w:t>
      </w:r>
      <w:r w:rsidR="001343C3">
        <w:lastRenderedPageBreak/>
        <w:t>globalization in a huge style. Today, people move from country to country in a matter of short time using this invention as opposed to what it could be without them. On the other hand, the invention of the personal in 1971 marked the beginning of a computerized generation</w:t>
      </w:r>
      <w:r w:rsidR="000C7203">
        <w:t xml:space="preserve"> </w:t>
      </w:r>
      <w:r>
        <w:rPr>
          <w:rStyle w:val="FootnoteReference"/>
        </w:rPr>
        <w:footnoteReference w:id="8"/>
      </w:r>
      <w:r w:rsidR="001343C3">
        <w:t xml:space="preserve">. It is unavoidable to mention what this machine has made the world look like today. Ranging from </w:t>
      </w:r>
      <w:r w:rsidR="00DF093D">
        <w:t xml:space="preserve">the </w:t>
      </w:r>
      <w:r w:rsidR="001343C3">
        <w:t>internet, data entry</w:t>
      </w:r>
      <w:r w:rsidR="00DF093D">
        <w:t>,</w:t>
      </w:r>
      <w:r w:rsidR="001343C3">
        <w:t xml:space="preserve"> and safekeeping and emergency of computer-based tasks, the invention has defined the twenty</w:t>
      </w:r>
      <w:r w:rsidR="00DF093D">
        <w:t>-</w:t>
      </w:r>
      <w:r w:rsidR="001343C3">
        <w:t>first century greatly</w:t>
      </w:r>
      <w:r w:rsidR="000C7203">
        <w:t xml:space="preserve"> </w:t>
      </w:r>
      <w:r>
        <w:rPr>
          <w:rStyle w:val="FootnoteReference"/>
        </w:rPr>
        <w:footnoteReference w:id="9"/>
      </w:r>
      <w:r w:rsidR="001343C3">
        <w:t>. Today people use these computers for business and personal reasons, and no one can imagine what the world would look like today without a computer.</w:t>
      </w:r>
      <w:r w:rsidR="00241C85">
        <w:t xml:space="preserve"> The transport and communication sector that has been defined by these inventions, is currently the driver of globalization and economic growth. The fight to improve </w:t>
      </w:r>
      <w:r w:rsidR="00DF093D">
        <w:t xml:space="preserve">the </w:t>
      </w:r>
      <w:r w:rsidR="00241C85">
        <w:t>world economy and standards of life today has been accelerated by these inventions of the twentieth century.</w:t>
      </w:r>
    </w:p>
    <w:p w14:paraId="6823AAFF" w14:textId="77777777" w:rsidR="002401D2" w:rsidRDefault="002F64AF" w:rsidP="002401D2">
      <w:pPr>
        <w:pStyle w:val="TableFigure"/>
        <w:spacing w:before="100" w:beforeAutospacing="1" w:after="100" w:afterAutospacing="1"/>
        <w:ind w:firstLine="720"/>
        <w:contextualSpacing w:val="0"/>
        <w:rPr>
          <w:b/>
          <w:bCs/>
        </w:rPr>
      </w:pPr>
      <w:r>
        <w:t>Equally</w:t>
      </w:r>
      <w:r w:rsidR="001343C3">
        <w:t xml:space="preserve">, the television invented in the twentieth century has been responsible for the current ease of sharing information through </w:t>
      </w:r>
      <w:r w:rsidR="00DF093D">
        <w:t xml:space="preserve">the </w:t>
      </w:r>
      <w:r w:rsidR="001343C3">
        <w:t xml:space="preserve">press. Currently, people turn on TVs and </w:t>
      </w:r>
      <w:r w:rsidR="00DF093D">
        <w:t>can</w:t>
      </w:r>
      <w:r w:rsidR="001343C3">
        <w:t xml:space="preserve"> witness world news and entertainment from the comfort of their homes.</w:t>
      </w:r>
      <w:r>
        <w:t xml:space="preserve"> This has also</w:t>
      </w:r>
      <w:r>
        <w:t xml:space="preserve"> </w:t>
      </w:r>
      <w:r w:rsidR="00071D6B">
        <w:t xml:space="preserve">led to </w:t>
      </w:r>
      <w:r w:rsidR="00DF093D">
        <w:t xml:space="preserve">the </w:t>
      </w:r>
      <w:r w:rsidR="00071D6B">
        <w:t>emergency of the press. The press is currently the main source of information to people based on their capability to offer reliable news. Antibiotics found their way in the medicine world early in the 1920s</w:t>
      </w:r>
      <w:r w:rsidR="000C7203">
        <w:t xml:space="preserve"> </w:t>
      </w:r>
      <w:r>
        <w:rPr>
          <w:rStyle w:val="FootnoteReference"/>
        </w:rPr>
        <w:footnoteReference w:id="10"/>
      </w:r>
      <w:r w:rsidR="00071D6B">
        <w:t xml:space="preserve">. This was a great success in human history as far as the twentieth century is concerned. Today, these antibiotics are being used in hospitals to treat the sick and handle various kinds of diseases. Human beings are now safe from some diseases since the cure to them </w:t>
      </w:r>
      <w:r w:rsidR="00071D6B">
        <w:lastRenderedPageBreak/>
        <w:t xml:space="preserve">is available. However, </w:t>
      </w:r>
      <w:r w:rsidR="00DF093D">
        <w:t xml:space="preserve">the </w:t>
      </w:r>
      <w:r w:rsidR="00071D6B">
        <w:t>emergency of diseases without cure such as COVID 19 has also been a huge challenge to the earth’s face.</w:t>
      </w:r>
    </w:p>
    <w:p w14:paraId="348A9E9C" w14:textId="3B63FA43" w:rsidR="00241C85" w:rsidRPr="002401D2" w:rsidRDefault="002F64AF" w:rsidP="002401D2">
      <w:pPr>
        <w:pStyle w:val="TableFigure"/>
        <w:spacing w:before="100" w:beforeAutospacing="1" w:after="100" w:afterAutospacing="1"/>
        <w:ind w:firstLine="720"/>
        <w:contextualSpacing w:val="0"/>
        <w:rPr>
          <w:b/>
          <w:bCs/>
        </w:rPr>
      </w:pPr>
      <w:r>
        <w:t xml:space="preserve">Similarly, the twentieth century was successful in humanity as the first man landed </w:t>
      </w:r>
      <w:r w:rsidR="00DF093D">
        <w:t>o</w:t>
      </w:r>
      <w:r>
        <w:t>n the moon.</w:t>
      </w:r>
      <w:r w:rsidR="00CE27DA">
        <w:t xml:space="preserve"> Neil Armstrong and his squad in the Apollo 11 in 1969 made their way to space and landed in the moon successfully. </w:t>
      </w:r>
      <w:r w:rsidR="00A433DA">
        <w:t xml:space="preserve">However, it is prudent to understand that space technology had already been launched in 1957. Satellites were erected to orbit the earth ion space. The first being the 83 kilograms Sputnik 1 by the </w:t>
      </w:r>
      <w:r w:rsidR="00403E11">
        <w:t>Soviet Union</w:t>
      </w:r>
      <w:r w:rsidR="000C7203">
        <w:t xml:space="preserve"> </w:t>
      </w:r>
      <w:r>
        <w:rPr>
          <w:rStyle w:val="FootnoteReference"/>
        </w:rPr>
        <w:footnoteReference w:id="11"/>
      </w:r>
      <w:r w:rsidR="00A433DA">
        <w:t>.</w:t>
      </w:r>
      <w:r w:rsidR="00403E11">
        <w:t xml:space="preserve"> The world today </w:t>
      </w:r>
      <w:r w:rsidR="00DF093D">
        <w:t>can</w:t>
      </w:r>
      <w:r w:rsidR="00403E11">
        <w:t xml:space="preserve"> understand climatic conditions, </w:t>
      </w:r>
      <w:r w:rsidR="00F2201F">
        <w:t xml:space="preserve">enhance communication, </w:t>
      </w:r>
      <w:r w:rsidR="00403E11">
        <w:t xml:space="preserve">trace terrorists, study threats and understand the </w:t>
      </w:r>
      <w:r w:rsidR="00F2201F">
        <w:t>earth</w:t>
      </w:r>
      <w:r w:rsidR="00403E11">
        <w:t xml:space="preserve"> better through space technology</w:t>
      </w:r>
      <w:r w:rsidR="000C7203">
        <w:t xml:space="preserve"> </w:t>
      </w:r>
      <w:r>
        <w:rPr>
          <w:rStyle w:val="FootnoteReference"/>
        </w:rPr>
        <w:footnoteReference w:id="12"/>
      </w:r>
      <w:r w:rsidR="00403E11">
        <w:t>.</w:t>
      </w:r>
      <w:r w:rsidR="00F2201F">
        <w:t xml:space="preserve"> Today banking systems, as well as communication companies, rely on space technology to help better the various economic, social</w:t>
      </w:r>
      <w:r w:rsidR="00DF093D">
        <w:t>,</w:t>
      </w:r>
      <w:r w:rsidR="00F2201F">
        <w:t xml:space="preserve"> and political grounds. Equally, space technology is empowering the world to be able to understand climatic conditions such as global warming and deal with them before they turn bad. Weather </w:t>
      </w:r>
      <w:r w:rsidR="00502473">
        <w:t>forecasts</w:t>
      </w:r>
      <w:r w:rsidR="00F2201F">
        <w:t xml:space="preserve"> can also be made and eventually assist areas with weather threats such as floods.</w:t>
      </w:r>
    </w:p>
    <w:p w14:paraId="50AC849B" w14:textId="77777777" w:rsidR="002401D2" w:rsidRDefault="002F64AF" w:rsidP="002401D2">
      <w:pPr>
        <w:pStyle w:val="TableFigure"/>
        <w:spacing w:before="100" w:beforeAutospacing="1" w:after="100" w:afterAutospacing="1"/>
        <w:contextualSpacing w:val="0"/>
        <w:jc w:val="center"/>
        <w:rPr>
          <w:b/>
          <w:bCs/>
        </w:rPr>
      </w:pPr>
      <w:r w:rsidRPr="00F744D8">
        <w:rPr>
          <w:b/>
          <w:bCs/>
        </w:rPr>
        <w:t>Conclusion</w:t>
      </w:r>
    </w:p>
    <w:p w14:paraId="3C660BAA" w14:textId="056803A8" w:rsidR="00A628FF" w:rsidRPr="002401D2" w:rsidRDefault="002F64AF" w:rsidP="002401D2">
      <w:pPr>
        <w:pStyle w:val="TableFigure"/>
        <w:spacing w:before="100" w:beforeAutospacing="1" w:after="100" w:afterAutospacing="1"/>
        <w:ind w:firstLine="720"/>
        <w:contextualSpacing w:val="0"/>
        <w:rPr>
          <w:b/>
          <w:bCs/>
        </w:rPr>
      </w:pPr>
      <w:r>
        <w:t xml:space="preserve">The twentieth century has remained to be the most revolutionary of all times. It was characterized </w:t>
      </w:r>
      <w:r w:rsidR="00DF093D">
        <w:t>by</w:t>
      </w:r>
      <w:r>
        <w:t xml:space="preserve"> both good and bad things that have shaped the world today. Inventions were the major successes of this century as wars </w:t>
      </w:r>
      <w:r w:rsidR="00087882">
        <w:t xml:space="preserve">remain the fateful occurrences of this period. They say that the past cannot be changed, however, the twentieth century is what shaped the earth as it is </w:t>
      </w:r>
      <w:r w:rsidR="00087882">
        <w:lastRenderedPageBreak/>
        <w:t>today. The political, social</w:t>
      </w:r>
      <w:r w:rsidR="00DF093D">
        <w:t>,</w:t>
      </w:r>
      <w:r w:rsidR="00087882">
        <w:t xml:space="preserve"> and economic grounds were shifted by the events of the twentieth centur</w:t>
      </w:r>
      <w:r w:rsidR="00DF093D">
        <w:t>y</w:t>
      </w:r>
      <w:r w:rsidR="00087882">
        <w:t xml:space="preserve"> and are currently either the reason </w:t>
      </w:r>
      <w:r w:rsidR="00DF093D">
        <w:t>for</w:t>
      </w:r>
      <w:r w:rsidR="00087882">
        <w:t xml:space="preserve"> what the world is facing today or the solution.</w:t>
      </w:r>
    </w:p>
    <w:p w14:paraId="60868BEE" w14:textId="77777777" w:rsidR="00A628FF" w:rsidRPr="00A628FF" w:rsidRDefault="002F64AF" w:rsidP="00A628FF">
      <w:pPr>
        <w:pStyle w:val="NormalWeb"/>
        <w:ind w:hanging="720"/>
        <w:contextualSpacing/>
        <w:jc w:val="center"/>
        <w:rPr>
          <w:rFonts w:eastAsia="Times New Roman"/>
          <w:color w:val="000000"/>
          <w:kern w:val="0"/>
          <w:lang w:eastAsia="en-US"/>
        </w:rPr>
      </w:pPr>
      <w:r>
        <w:br w:type="page"/>
      </w:r>
      <w:r w:rsidRPr="00A628FF">
        <w:rPr>
          <w:rFonts w:eastAsia="Times New Roman"/>
          <w:color w:val="000000"/>
          <w:kern w:val="0"/>
          <w:lang w:eastAsia="en-US"/>
        </w:rPr>
        <w:lastRenderedPageBreak/>
        <w:t>Bibliography</w:t>
      </w:r>
    </w:p>
    <w:p w14:paraId="12458C79" w14:textId="77777777" w:rsidR="002401D2" w:rsidRPr="00A628FF" w:rsidRDefault="002F64AF" w:rsidP="00A628FF">
      <w:pPr>
        <w:ind w:left="720" w:hanging="720"/>
        <w:contextualSpacing/>
        <w:rPr>
          <w:rFonts w:ascii="Times New Roman" w:eastAsia="Times New Roman" w:hAnsi="Times New Roman" w:cs="Times New Roman"/>
          <w:color w:val="000000"/>
          <w:kern w:val="0"/>
          <w:lang w:eastAsia="en-US"/>
        </w:rPr>
      </w:pPr>
      <w:r w:rsidRPr="00A628FF">
        <w:rPr>
          <w:rFonts w:ascii="Times New Roman" w:eastAsia="Times New Roman" w:hAnsi="Times New Roman" w:cs="Times New Roman"/>
          <w:color w:val="000000"/>
          <w:kern w:val="0"/>
          <w:lang w:eastAsia="en-US"/>
        </w:rPr>
        <w:t>Bernanke, Ben. </w:t>
      </w:r>
      <w:r w:rsidRPr="00A628FF">
        <w:rPr>
          <w:rFonts w:ascii="Times New Roman" w:eastAsia="Times New Roman" w:hAnsi="Times New Roman" w:cs="Times New Roman"/>
          <w:i/>
          <w:iCs/>
          <w:color w:val="000000"/>
          <w:kern w:val="0"/>
          <w:lang w:eastAsia="en-US"/>
        </w:rPr>
        <w:t>Essays on the Grea</w:t>
      </w:r>
      <w:r w:rsidRPr="00A628FF">
        <w:rPr>
          <w:rFonts w:ascii="Times New Roman" w:eastAsia="Times New Roman" w:hAnsi="Times New Roman" w:cs="Times New Roman"/>
          <w:i/>
          <w:iCs/>
          <w:color w:val="000000"/>
          <w:kern w:val="0"/>
          <w:lang w:eastAsia="en-US"/>
        </w:rPr>
        <w:t>t Depression</w:t>
      </w:r>
      <w:r w:rsidRPr="00A628FF">
        <w:rPr>
          <w:rFonts w:ascii="Times New Roman" w:eastAsia="Times New Roman" w:hAnsi="Times New Roman" w:cs="Times New Roman"/>
          <w:color w:val="000000"/>
          <w:kern w:val="0"/>
          <w:lang w:eastAsia="en-US"/>
        </w:rPr>
        <w:t>. </w:t>
      </w:r>
      <w:r w:rsidRPr="00A628FF">
        <w:rPr>
          <w:rFonts w:ascii="Times New Roman" w:eastAsia="Times New Roman" w:hAnsi="Times New Roman" w:cs="Times New Roman"/>
          <w:i/>
          <w:iCs/>
          <w:color w:val="000000"/>
          <w:kern w:val="0"/>
          <w:lang w:eastAsia="en-US"/>
        </w:rPr>
        <w:t>Google Books</w:t>
      </w:r>
      <w:r w:rsidRPr="00A628FF">
        <w:rPr>
          <w:rFonts w:ascii="Times New Roman" w:eastAsia="Times New Roman" w:hAnsi="Times New Roman" w:cs="Times New Roman"/>
          <w:color w:val="000000"/>
          <w:kern w:val="0"/>
          <w:lang w:eastAsia="en-US"/>
        </w:rPr>
        <w:t>. Princeton University Press, 2000. https://books.google.com/books?hl=en&amp;lr=&amp;id=c2OSWhLjzJkC&amp;oi=fnd&amp;pg=PP11&amp;dq=the+great+depression&amp;ots=83Omt9pis3&amp;sig=yQEOv0XNOgxNd2a7etIt5Z7UadQ.</w:t>
      </w:r>
    </w:p>
    <w:p w14:paraId="112AC704" w14:textId="77777777" w:rsidR="002401D2" w:rsidRPr="00A628FF" w:rsidRDefault="002F64AF" w:rsidP="00A628FF">
      <w:pPr>
        <w:ind w:left="720" w:hanging="720"/>
        <w:contextualSpacing/>
        <w:rPr>
          <w:rFonts w:ascii="Times New Roman" w:eastAsia="Times New Roman" w:hAnsi="Times New Roman" w:cs="Times New Roman"/>
          <w:color w:val="000000"/>
          <w:kern w:val="0"/>
          <w:lang w:eastAsia="en-US"/>
        </w:rPr>
      </w:pPr>
      <w:r w:rsidRPr="00A628FF">
        <w:rPr>
          <w:rFonts w:ascii="Times New Roman" w:eastAsia="Times New Roman" w:hAnsi="Times New Roman" w:cs="Times New Roman"/>
          <w:color w:val="000000"/>
          <w:kern w:val="0"/>
          <w:lang w:eastAsia="en-US"/>
        </w:rPr>
        <w:t>Billington, David P., and David P. Billington Jr. </w:t>
      </w:r>
      <w:r w:rsidRPr="00A628FF">
        <w:rPr>
          <w:rFonts w:ascii="Times New Roman" w:eastAsia="Times New Roman" w:hAnsi="Times New Roman" w:cs="Times New Roman"/>
          <w:i/>
          <w:iCs/>
          <w:color w:val="000000"/>
          <w:kern w:val="0"/>
          <w:lang w:eastAsia="en-US"/>
        </w:rPr>
        <w:t>Power, Speed, and Form: Engineers and the Making of the Twentieth Century</w:t>
      </w:r>
      <w:r w:rsidRPr="00A628FF">
        <w:rPr>
          <w:rFonts w:ascii="Times New Roman" w:eastAsia="Times New Roman" w:hAnsi="Times New Roman" w:cs="Times New Roman"/>
          <w:color w:val="000000"/>
          <w:kern w:val="0"/>
          <w:lang w:eastAsia="en-US"/>
        </w:rPr>
        <w:t>. </w:t>
      </w:r>
      <w:r w:rsidRPr="00A628FF">
        <w:rPr>
          <w:rFonts w:ascii="Times New Roman" w:eastAsia="Times New Roman" w:hAnsi="Times New Roman" w:cs="Times New Roman"/>
          <w:i/>
          <w:iCs/>
          <w:color w:val="000000"/>
          <w:kern w:val="0"/>
          <w:lang w:eastAsia="en-US"/>
        </w:rPr>
        <w:t>Google Books</w:t>
      </w:r>
      <w:r w:rsidRPr="00A628FF">
        <w:rPr>
          <w:rFonts w:ascii="Times New Roman" w:eastAsia="Times New Roman" w:hAnsi="Times New Roman" w:cs="Times New Roman"/>
          <w:color w:val="000000"/>
          <w:kern w:val="0"/>
          <w:lang w:eastAsia="en-US"/>
        </w:rPr>
        <w:t>. Princeton University Press, 2013. https://books.google.com/books?hl=en&amp;lr=&amp;id=BcYcAAAAQBAJ&amp;oi=fnd&amp;pg=PP2&amp;dq=engineering+inventions+in+the+twentieth+century&amp;ots=mlPb2L4</w:t>
      </w:r>
      <w:r w:rsidRPr="00A628FF">
        <w:rPr>
          <w:rFonts w:ascii="Times New Roman" w:eastAsia="Times New Roman" w:hAnsi="Times New Roman" w:cs="Times New Roman"/>
          <w:color w:val="000000"/>
          <w:kern w:val="0"/>
          <w:lang w:eastAsia="en-US"/>
        </w:rPr>
        <w:t>yEe&amp;sig=hQ1L3iA7jzHf1UDz4sjxrfZK6cg.</w:t>
      </w:r>
    </w:p>
    <w:p w14:paraId="31219BC0" w14:textId="77777777" w:rsidR="002401D2" w:rsidRPr="00A628FF" w:rsidRDefault="002F64AF" w:rsidP="00A628FF">
      <w:pPr>
        <w:ind w:left="720" w:hanging="720"/>
        <w:contextualSpacing/>
        <w:rPr>
          <w:rFonts w:ascii="Times New Roman" w:eastAsia="Times New Roman" w:hAnsi="Times New Roman" w:cs="Times New Roman"/>
          <w:color w:val="000000"/>
          <w:kern w:val="0"/>
          <w:lang w:eastAsia="en-US"/>
        </w:rPr>
      </w:pPr>
      <w:r w:rsidRPr="00A628FF">
        <w:rPr>
          <w:rFonts w:ascii="Times New Roman" w:eastAsia="Times New Roman" w:hAnsi="Times New Roman" w:cs="Times New Roman"/>
          <w:color w:val="000000"/>
          <w:kern w:val="0"/>
          <w:lang w:eastAsia="en-US"/>
        </w:rPr>
        <w:t>Ellis, Harry B. </w:t>
      </w:r>
      <w:r w:rsidRPr="00A628FF">
        <w:rPr>
          <w:rFonts w:ascii="Times New Roman" w:eastAsia="Times New Roman" w:hAnsi="Times New Roman" w:cs="Times New Roman"/>
          <w:i/>
          <w:iCs/>
          <w:color w:val="000000"/>
          <w:kern w:val="0"/>
          <w:lang w:eastAsia="en-US"/>
        </w:rPr>
        <w:t>Ideals and Ideologies: Communism, Socialism, and Capitalism</w:t>
      </w:r>
      <w:r w:rsidRPr="00A628FF">
        <w:rPr>
          <w:rFonts w:ascii="Times New Roman" w:eastAsia="Times New Roman" w:hAnsi="Times New Roman" w:cs="Times New Roman"/>
          <w:color w:val="000000"/>
          <w:kern w:val="0"/>
          <w:lang w:eastAsia="en-US"/>
        </w:rPr>
        <w:t>. New York, World Pub, 1973.</w:t>
      </w:r>
    </w:p>
    <w:p w14:paraId="7160F089" w14:textId="77777777" w:rsidR="002401D2" w:rsidRPr="00A628FF" w:rsidRDefault="002F64AF" w:rsidP="00A628FF">
      <w:pPr>
        <w:ind w:left="720" w:hanging="720"/>
        <w:contextualSpacing/>
        <w:rPr>
          <w:rFonts w:ascii="Times New Roman" w:eastAsia="Times New Roman" w:hAnsi="Times New Roman" w:cs="Times New Roman"/>
          <w:color w:val="000000"/>
          <w:kern w:val="0"/>
          <w:lang w:eastAsia="en-US"/>
        </w:rPr>
      </w:pPr>
      <w:r w:rsidRPr="00A628FF">
        <w:rPr>
          <w:rFonts w:ascii="Times New Roman" w:eastAsia="Times New Roman" w:hAnsi="Times New Roman" w:cs="Times New Roman"/>
          <w:color w:val="000000"/>
          <w:kern w:val="0"/>
          <w:lang w:eastAsia="en-US"/>
        </w:rPr>
        <w:t>Fredrickson, George M. </w:t>
      </w:r>
      <w:r w:rsidRPr="00A628FF">
        <w:rPr>
          <w:rFonts w:ascii="Times New Roman" w:eastAsia="Times New Roman" w:hAnsi="Times New Roman" w:cs="Times New Roman"/>
          <w:i/>
          <w:iCs/>
          <w:color w:val="000000"/>
          <w:kern w:val="0"/>
          <w:lang w:eastAsia="en-US"/>
        </w:rPr>
        <w:t>Racism: A Short History</w:t>
      </w:r>
      <w:r w:rsidRPr="00A628FF">
        <w:rPr>
          <w:rFonts w:ascii="Times New Roman" w:eastAsia="Times New Roman" w:hAnsi="Times New Roman" w:cs="Times New Roman"/>
          <w:color w:val="000000"/>
          <w:kern w:val="0"/>
          <w:lang w:eastAsia="en-US"/>
        </w:rPr>
        <w:t>. </w:t>
      </w:r>
      <w:r w:rsidRPr="00A628FF">
        <w:rPr>
          <w:rFonts w:ascii="Times New Roman" w:eastAsia="Times New Roman" w:hAnsi="Times New Roman" w:cs="Times New Roman"/>
          <w:i/>
          <w:iCs/>
          <w:color w:val="000000"/>
          <w:kern w:val="0"/>
          <w:lang w:eastAsia="en-US"/>
        </w:rPr>
        <w:t>Google Books</w:t>
      </w:r>
      <w:r w:rsidRPr="00A628FF">
        <w:rPr>
          <w:rFonts w:ascii="Times New Roman" w:eastAsia="Times New Roman" w:hAnsi="Times New Roman" w:cs="Times New Roman"/>
          <w:color w:val="000000"/>
          <w:kern w:val="0"/>
          <w:lang w:eastAsia="en-US"/>
        </w:rPr>
        <w:t>. Princeton University Press, 2015. https://books.googl</w:t>
      </w:r>
      <w:r w:rsidRPr="00A628FF">
        <w:rPr>
          <w:rFonts w:ascii="Times New Roman" w:eastAsia="Times New Roman" w:hAnsi="Times New Roman" w:cs="Times New Roman"/>
          <w:color w:val="000000"/>
          <w:kern w:val="0"/>
          <w:lang w:eastAsia="en-US"/>
        </w:rPr>
        <w:t>e.com/books?hl=en&amp;lr=&amp;id=2WyYDwAAQBAJ&amp;oi=fnd&amp;pg=PR17&amp;dq=racism+in+the+twentieth+century&amp;ots=ak1Th0-dkx&amp;sig=eZTEBpFTVzNam_c8pK50yZF_XdQ.</w:t>
      </w:r>
    </w:p>
    <w:p w14:paraId="2EF8A52B" w14:textId="77777777" w:rsidR="002401D2" w:rsidRPr="00A628FF" w:rsidRDefault="002F64AF" w:rsidP="00A628FF">
      <w:pPr>
        <w:ind w:left="720" w:hanging="720"/>
        <w:contextualSpacing/>
        <w:rPr>
          <w:rFonts w:ascii="Times New Roman" w:eastAsia="Times New Roman" w:hAnsi="Times New Roman" w:cs="Times New Roman"/>
          <w:color w:val="000000"/>
          <w:kern w:val="0"/>
          <w:lang w:eastAsia="en-US"/>
        </w:rPr>
      </w:pPr>
      <w:r w:rsidRPr="00A628FF">
        <w:rPr>
          <w:rFonts w:ascii="Times New Roman" w:eastAsia="Times New Roman" w:hAnsi="Times New Roman" w:cs="Times New Roman"/>
          <w:color w:val="000000"/>
          <w:kern w:val="0"/>
          <w:lang w:eastAsia="en-US"/>
        </w:rPr>
        <w:t>Gilbert, Martin, and Folio Society (London, England. </w:t>
      </w:r>
      <w:r w:rsidRPr="00A628FF">
        <w:rPr>
          <w:rFonts w:ascii="Times New Roman" w:eastAsia="Times New Roman" w:hAnsi="Times New Roman" w:cs="Times New Roman"/>
          <w:i/>
          <w:iCs/>
          <w:color w:val="000000"/>
          <w:kern w:val="0"/>
          <w:lang w:eastAsia="en-US"/>
        </w:rPr>
        <w:t>The Second World War</w:t>
      </w:r>
      <w:r w:rsidRPr="00A628FF">
        <w:rPr>
          <w:rFonts w:ascii="Times New Roman" w:eastAsia="Times New Roman" w:hAnsi="Times New Roman" w:cs="Times New Roman"/>
          <w:color w:val="000000"/>
          <w:kern w:val="0"/>
          <w:lang w:eastAsia="en-US"/>
        </w:rPr>
        <w:t>. London: The Folio Society, 2011.</w:t>
      </w:r>
    </w:p>
    <w:p w14:paraId="13E51D98" w14:textId="77777777" w:rsidR="002401D2" w:rsidRPr="00A628FF" w:rsidRDefault="002F64AF" w:rsidP="00A628FF">
      <w:pPr>
        <w:ind w:left="720" w:hanging="720"/>
        <w:contextualSpacing/>
        <w:rPr>
          <w:rFonts w:ascii="Times New Roman" w:eastAsia="Times New Roman" w:hAnsi="Times New Roman" w:cs="Times New Roman"/>
          <w:color w:val="000000"/>
          <w:kern w:val="0"/>
          <w:lang w:eastAsia="en-US"/>
        </w:rPr>
      </w:pPr>
      <w:r w:rsidRPr="00A628FF">
        <w:rPr>
          <w:rFonts w:ascii="Times New Roman" w:eastAsia="Times New Roman" w:hAnsi="Times New Roman" w:cs="Times New Roman"/>
          <w:color w:val="000000"/>
          <w:kern w:val="0"/>
          <w:lang w:eastAsia="en-US"/>
        </w:rPr>
        <w:t>Hayward, Phi</w:t>
      </w:r>
      <w:r w:rsidRPr="00A628FF">
        <w:rPr>
          <w:rFonts w:ascii="Times New Roman" w:eastAsia="Times New Roman" w:hAnsi="Times New Roman" w:cs="Times New Roman"/>
          <w:color w:val="000000"/>
          <w:kern w:val="0"/>
          <w:lang w:eastAsia="en-US"/>
        </w:rPr>
        <w:t>lip. </w:t>
      </w:r>
      <w:r w:rsidRPr="00A628FF">
        <w:rPr>
          <w:rFonts w:ascii="Times New Roman" w:eastAsia="Times New Roman" w:hAnsi="Times New Roman" w:cs="Times New Roman"/>
          <w:i/>
          <w:iCs/>
          <w:color w:val="000000"/>
          <w:kern w:val="0"/>
          <w:lang w:eastAsia="en-US"/>
        </w:rPr>
        <w:t>Culture, Technology &amp; Creativity in the Late Twentieth Century</w:t>
      </w:r>
      <w:r w:rsidRPr="00A628FF">
        <w:rPr>
          <w:rFonts w:ascii="Times New Roman" w:eastAsia="Times New Roman" w:hAnsi="Times New Roman" w:cs="Times New Roman"/>
          <w:color w:val="000000"/>
          <w:kern w:val="0"/>
          <w:lang w:eastAsia="en-US"/>
        </w:rPr>
        <w:t>. </w:t>
      </w:r>
      <w:r w:rsidRPr="00A628FF">
        <w:rPr>
          <w:rFonts w:ascii="Times New Roman" w:eastAsia="Times New Roman" w:hAnsi="Times New Roman" w:cs="Times New Roman"/>
          <w:i/>
          <w:iCs/>
          <w:color w:val="000000"/>
          <w:kern w:val="0"/>
          <w:lang w:eastAsia="en-US"/>
        </w:rPr>
        <w:t>Google Books</w:t>
      </w:r>
      <w:r w:rsidRPr="00A628FF">
        <w:rPr>
          <w:rFonts w:ascii="Times New Roman" w:eastAsia="Times New Roman" w:hAnsi="Times New Roman" w:cs="Times New Roman"/>
          <w:color w:val="000000"/>
          <w:kern w:val="0"/>
          <w:lang w:eastAsia="en-US"/>
        </w:rPr>
        <w:t>. Indiana University Press, 1990. https://books.google.com/books?hl=en&amp;lr=&amp;id=yLq3rM2at3cC&amp;oi=fnd&amp;pg=PR7&amp;dq=s</w:t>
      </w:r>
      <w:r w:rsidRPr="00A628FF">
        <w:rPr>
          <w:rFonts w:ascii="Times New Roman" w:eastAsia="Times New Roman" w:hAnsi="Times New Roman" w:cs="Times New Roman"/>
          <w:color w:val="000000"/>
          <w:kern w:val="0"/>
          <w:lang w:eastAsia="en-US"/>
        </w:rPr>
        <w:lastRenderedPageBreak/>
        <w:t>pace+technology+in+twentieth+century&amp;ots=vHne8doBKS&amp;sig=3M-DRNGV4n</w:t>
      </w:r>
      <w:r w:rsidRPr="00A628FF">
        <w:rPr>
          <w:rFonts w:ascii="Times New Roman" w:eastAsia="Times New Roman" w:hAnsi="Times New Roman" w:cs="Times New Roman"/>
          <w:color w:val="000000"/>
          <w:kern w:val="0"/>
          <w:lang w:eastAsia="en-US"/>
        </w:rPr>
        <w:t>mwCq9WonksSsJq0LU.</w:t>
      </w:r>
    </w:p>
    <w:p w14:paraId="57AD01D2" w14:textId="77777777" w:rsidR="002401D2" w:rsidRPr="00A628FF" w:rsidRDefault="002F64AF" w:rsidP="00A628FF">
      <w:pPr>
        <w:ind w:left="720" w:hanging="720"/>
        <w:contextualSpacing/>
        <w:rPr>
          <w:rFonts w:ascii="Times New Roman" w:eastAsia="Times New Roman" w:hAnsi="Times New Roman" w:cs="Times New Roman"/>
          <w:color w:val="000000"/>
          <w:kern w:val="0"/>
          <w:lang w:eastAsia="en-US"/>
        </w:rPr>
      </w:pPr>
      <w:r w:rsidRPr="00A628FF">
        <w:rPr>
          <w:rFonts w:ascii="Times New Roman" w:eastAsia="Times New Roman" w:hAnsi="Times New Roman" w:cs="Times New Roman"/>
          <w:color w:val="000000"/>
          <w:kern w:val="0"/>
          <w:lang w:eastAsia="en-US"/>
        </w:rPr>
        <w:t>Ley, Wilfried, Klaus Wittmann, and Willi Hallmann. </w:t>
      </w:r>
      <w:r w:rsidRPr="00A628FF">
        <w:rPr>
          <w:rFonts w:ascii="Times New Roman" w:eastAsia="Times New Roman" w:hAnsi="Times New Roman" w:cs="Times New Roman"/>
          <w:i/>
          <w:iCs/>
          <w:color w:val="000000"/>
          <w:kern w:val="0"/>
          <w:lang w:eastAsia="en-US"/>
        </w:rPr>
        <w:t>Handbook of Space Technology</w:t>
      </w:r>
      <w:r w:rsidRPr="00A628FF">
        <w:rPr>
          <w:rFonts w:ascii="Times New Roman" w:eastAsia="Times New Roman" w:hAnsi="Times New Roman" w:cs="Times New Roman"/>
          <w:color w:val="000000"/>
          <w:kern w:val="0"/>
          <w:lang w:eastAsia="en-US"/>
        </w:rPr>
        <w:t>. </w:t>
      </w:r>
      <w:r w:rsidRPr="00A628FF">
        <w:rPr>
          <w:rFonts w:ascii="Times New Roman" w:eastAsia="Times New Roman" w:hAnsi="Times New Roman" w:cs="Times New Roman"/>
          <w:i/>
          <w:iCs/>
          <w:color w:val="000000"/>
          <w:kern w:val="0"/>
          <w:lang w:eastAsia="en-US"/>
        </w:rPr>
        <w:t>Google Books</w:t>
      </w:r>
      <w:r w:rsidRPr="00A628FF">
        <w:rPr>
          <w:rFonts w:ascii="Times New Roman" w:eastAsia="Times New Roman" w:hAnsi="Times New Roman" w:cs="Times New Roman"/>
          <w:color w:val="000000"/>
          <w:kern w:val="0"/>
          <w:lang w:eastAsia="en-US"/>
        </w:rPr>
        <w:t>. John Wiley &amp; Sons, 2009. https://books.google.com/books?hl=en&amp;lr=&amp;id=5LBx4EmBix8C&amp;oi=fnd&amp;pg=PR5&amp;dq=space+technology&amp;ots=yNoIMk0VLc&amp;</w:t>
      </w:r>
      <w:r w:rsidRPr="00A628FF">
        <w:rPr>
          <w:rFonts w:ascii="Times New Roman" w:eastAsia="Times New Roman" w:hAnsi="Times New Roman" w:cs="Times New Roman"/>
          <w:color w:val="000000"/>
          <w:kern w:val="0"/>
          <w:lang w:eastAsia="en-US"/>
        </w:rPr>
        <w:t>sig=peJkDDnrRBjRPdgJK8InEaD-T14.</w:t>
      </w:r>
    </w:p>
    <w:p w14:paraId="232BB892" w14:textId="77777777" w:rsidR="002401D2" w:rsidRPr="00A628FF" w:rsidRDefault="002F64AF" w:rsidP="00A628FF">
      <w:pPr>
        <w:ind w:left="720" w:hanging="720"/>
        <w:contextualSpacing/>
        <w:rPr>
          <w:rFonts w:ascii="Times New Roman" w:eastAsia="Times New Roman" w:hAnsi="Times New Roman" w:cs="Times New Roman"/>
          <w:color w:val="000000"/>
          <w:kern w:val="0"/>
          <w:lang w:eastAsia="en-US"/>
        </w:rPr>
      </w:pPr>
      <w:r w:rsidRPr="00A628FF">
        <w:rPr>
          <w:rFonts w:ascii="Times New Roman" w:eastAsia="Times New Roman" w:hAnsi="Times New Roman" w:cs="Times New Roman"/>
          <w:color w:val="000000"/>
          <w:kern w:val="0"/>
          <w:lang w:eastAsia="en-US"/>
        </w:rPr>
        <w:t>Ralph Winfred Tyler. “The Five Most Significant Curriculum Events in the Twentieth Century.,” 2018. https://pdfs.semanticscholar.org/9094/5db4729f4ea939591b81dd319b807ffa7bfa.pdf.</w:t>
      </w:r>
    </w:p>
    <w:p w14:paraId="799D6918" w14:textId="77777777" w:rsidR="00A628FF" w:rsidRPr="00A628FF" w:rsidRDefault="002F64AF" w:rsidP="00A628FF">
      <w:pPr>
        <w:ind w:hanging="720"/>
        <w:contextualSpacing/>
        <w:rPr>
          <w:rFonts w:ascii="Times New Roman" w:eastAsia="Times New Roman" w:hAnsi="Times New Roman" w:cs="Times New Roman"/>
          <w:color w:val="000000"/>
          <w:kern w:val="0"/>
          <w:lang w:eastAsia="en-US"/>
        </w:rPr>
      </w:pPr>
      <w:r w:rsidRPr="00A628FF">
        <w:rPr>
          <w:rFonts w:ascii="Times New Roman" w:eastAsia="Times New Roman" w:hAnsi="Times New Roman" w:cs="Times New Roman"/>
          <w:color w:val="000000"/>
          <w:kern w:val="0"/>
          <w:lang w:eastAsia="en-US"/>
        </w:rPr>
        <w:t>‌</w:t>
      </w:r>
    </w:p>
    <w:p w14:paraId="22AFF593" w14:textId="26D5AE6A" w:rsidR="00A628FF" w:rsidRPr="0018699E" w:rsidRDefault="00A628FF" w:rsidP="00A628FF">
      <w:pPr>
        <w:ind w:hanging="720"/>
        <w:contextualSpacing/>
      </w:pPr>
    </w:p>
    <w:sectPr w:rsidR="00A628FF" w:rsidRPr="0018699E">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CD47E8" w14:textId="77777777" w:rsidR="002F64AF" w:rsidRDefault="002F64AF">
      <w:pPr>
        <w:spacing w:line="240" w:lineRule="auto"/>
      </w:pPr>
      <w:r>
        <w:separator/>
      </w:r>
    </w:p>
  </w:endnote>
  <w:endnote w:type="continuationSeparator" w:id="0">
    <w:p w14:paraId="047DBB08" w14:textId="77777777" w:rsidR="002F64AF" w:rsidRDefault="002F64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023423" w14:textId="77777777" w:rsidR="002F64AF" w:rsidRDefault="002F64AF">
      <w:pPr>
        <w:spacing w:line="240" w:lineRule="auto"/>
      </w:pPr>
      <w:r>
        <w:separator/>
      </w:r>
    </w:p>
    <w:p w14:paraId="7497029F" w14:textId="77777777" w:rsidR="002F64AF" w:rsidRDefault="002F64AF"/>
  </w:footnote>
  <w:footnote w:type="continuationSeparator" w:id="0">
    <w:p w14:paraId="710F2F95" w14:textId="77777777" w:rsidR="002F64AF" w:rsidRDefault="002F64AF">
      <w:pPr>
        <w:spacing w:line="240" w:lineRule="auto"/>
      </w:pPr>
      <w:r>
        <w:continuationSeparator/>
      </w:r>
    </w:p>
    <w:p w14:paraId="6EA15AAA" w14:textId="77777777" w:rsidR="002F64AF" w:rsidRDefault="002F64AF"/>
  </w:footnote>
  <w:footnote w:id="1">
    <w:p w14:paraId="0FEF4624" w14:textId="6F5B360A" w:rsidR="00D94C55" w:rsidRDefault="002F64AF">
      <w:pPr>
        <w:pStyle w:val="FootnoteText"/>
      </w:pPr>
      <w:r>
        <w:rPr>
          <w:rStyle w:val="FootnoteReference"/>
        </w:rPr>
        <w:footnoteRef/>
      </w:r>
      <w:r>
        <w:t xml:space="preserve"> </w:t>
      </w:r>
      <w:r>
        <w:rPr>
          <w:color w:val="000000"/>
          <w:shd w:val="clear" w:color="auto" w:fill="FFFFFF"/>
        </w:rPr>
        <w:t xml:space="preserve">Ralph Winfred Tyler, “The Five Most Significant Curriculum Events in the Twentieth Century.,” 2018, </w:t>
      </w:r>
      <w:r>
        <w:rPr>
          <w:color w:val="000000"/>
          <w:shd w:val="clear" w:color="auto" w:fill="FFFFFF"/>
        </w:rPr>
        <w:t>https://pdfs.semanticscholar.org/9094/5db4729f4ea939591b81dd319b807ffa7bfa.pdf.</w:t>
      </w:r>
    </w:p>
  </w:footnote>
  <w:footnote w:id="2">
    <w:p w14:paraId="2A565C97" w14:textId="55C82E80" w:rsidR="00D94C55" w:rsidRDefault="002F64AF">
      <w:pPr>
        <w:pStyle w:val="FootnoteText"/>
      </w:pPr>
      <w:r>
        <w:rPr>
          <w:rStyle w:val="FootnoteReference"/>
        </w:rPr>
        <w:footnoteRef/>
      </w:r>
      <w:r>
        <w:t xml:space="preserve"> </w:t>
      </w:r>
      <w:r>
        <w:rPr>
          <w:color w:val="000000"/>
          <w:shd w:val="clear" w:color="auto" w:fill="FFFFFF"/>
        </w:rPr>
        <w:t>Martin Gilbert and Folio Society (London, England, </w:t>
      </w:r>
      <w:r>
        <w:rPr>
          <w:i/>
          <w:iCs/>
          <w:color w:val="000000"/>
        </w:rPr>
        <w:t>The Second World War</w:t>
      </w:r>
      <w:r>
        <w:rPr>
          <w:color w:val="000000"/>
          <w:shd w:val="clear" w:color="auto" w:fill="FFFFFF"/>
        </w:rPr>
        <w:t> (London: The Folio Society, 2011).</w:t>
      </w:r>
    </w:p>
  </w:footnote>
  <w:footnote w:id="3">
    <w:p w14:paraId="3984ADBC" w14:textId="1274EB8B" w:rsidR="00D94C55" w:rsidRDefault="002F64AF">
      <w:pPr>
        <w:pStyle w:val="FootnoteText"/>
      </w:pPr>
      <w:r>
        <w:rPr>
          <w:rStyle w:val="FootnoteReference"/>
        </w:rPr>
        <w:footnoteRef/>
      </w:r>
      <w:r>
        <w:t xml:space="preserve"> </w:t>
      </w:r>
      <w:r>
        <w:rPr>
          <w:color w:val="000000"/>
          <w:shd w:val="clear" w:color="auto" w:fill="FFFFFF"/>
        </w:rPr>
        <w:t>Harry B Ellis, </w:t>
      </w:r>
      <w:r>
        <w:rPr>
          <w:i/>
          <w:iCs/>
          <w:color w:val="000000"/>
        </w:rPr>
        <w:t xml:space="preserve">Ideals and Ideologies: Communism, Socialism, and </w:t>
      </w:r>
      <w:r>
        <w:rPr>
          <w:i/>
          <w:iCs/>
          <w:color w:val="000000"/>
        </w:rPr>
        <w:t>Capitalism</w:t>
      </w:r>
      <w:r>
        <w:rPr>
          <w:color w:val="000000"/>
          <w:shd w:val="clear" w:color="auto" w:fill="FFFFFF"/>
        </w:rPr>
        <w:t> (New York, World Pub, 1973).</w:t>
      </w:r>
    </w:p>
  </w:footnote>
  <w:footnote w:id="4">
    <w:p w14:paraId="032765B8" w14:textId="2B300BA5" w:rsidR="00D94C55" w:rsidRDefault="002F64AF">
      <w:pPr>
        <w:pStyle w:val="FootnoteText"/>
      </w:pPr>
      <w:r>
        <w:rPr>
          <w:rStyle w:val="FootnoteReference"/>
        </w:rPr>
        <w:footnoteRef/>
      </w:r>
      <w:r>
        <w:t xml:space="preserve"> </w:t>
      </w:r>
      <w:r>
        <w:rPr>
          <w:color w:val="000000"/>
          <w:shd w:val="clear" w:color="auto" w:fill="FFFFFF"/>
        </w:rPr>
        <w:t>George M. Fredrickson, </w:t>
      </w:r>
      <w:r>
        <w:rPr>
          <w:i/>
          <w:iCs/>
          <w:color w:val="000000"/>
        </w:rPr>
        <w:t>Racism: A Short History</w:t>
      </w:r>
      <w:r>
        <w:rPr>
          <w:color w:val="000000"/>
          <w:shd w:val="clear" w:color="auto" w:fill="FFFFFF"/>
        </w:rPr>
        <w:t>, </w:t>
      </w:r>
      <w:r>
        <w:rPr>
          <w:i/>
          <w:iCs/>
          <w:color w:val="000000"/>
        </w:rPr>
        <w:t>Google Books</w:t>
      </w:r>
      <w:r>
        <w:rPr>
          <w:color w:val="000000"/>
          <w:shd w:val="clear" w:color="auto" w:fill="FFFFFF"/>
        </w:rPr>
        <w:t xml:space="preserve"> (Princeton University Press, 2015), </w:t>
      </w:r>
    </w:p>
  </w:footnote>
  <w:footnote w:id="5">
    <w:p w14:paraId="538D367A" w14:textId="4BDE5357" w:rsidR="00D94C55" w:rsidRDefault="002F64AF">
      <w:pPr>
        <w:pStyle w:val="FootnoteText"/>
      </w:pPr>
      <w:r>
        <w:rPr>
          <w:rStyle w:val="FootnoteReference"/>
        </w:rPr>
        <w:footnoteRef/>
      </w:r>
      <w:r>
        <w:t xml:space="preserve"> Ibid, 45</w:t>
      </w:r>
    </w:p>
  </w:footnote>
  <w:footnote w:id="6">
    <w:p w14:paraId="58744BA5" w14:textId="02D69A6C" w:rsidR="000C7203" w:rsidRDefault="002F64AF">
      <w:pPr>
        <w:pStyle w:val="FootnoteText"/>
      </w:pPr>
      <w:r>
        <w:rPr>
          <w:rStyle w:val="FootnoteReference"/>
        </w:rPr>
        <w:footnoteRef/>
      </w:r>
      <w:r>
        <w:t xml:space="preserve"> </w:t>
      </w:r>
      <w:r>
        <w:rPr>
          <w:color w:val="000000"/>
          <w:shd w:val="clear" w:color="auto" w:fill="FFFFFF"/>
        </w:rPr>
        <w:t>Ben Bernanke, </w:t>
      </w:r>
      <w:r>
        <w:rPr>
          <w:i/>
          <w:iCs/>
          <w:color w:val="000000"/>
        </w:rPr>
        <w:t>Essays on the Great Depression</w:t>
      </w:r>
      <w:r>
        <w:rPr>
          <w:color w:val="000000"/>
          <w:shd w:val="clear" w:color="auto" w:fill="FFFFFF"/>
        </w:rPr>
        <w:t>, </w:t>
      </w:r>
      <w:r>
        <w:rPr>
          <w:i/>
          <w:iCs/>
          <w:color w:val="000000"/>
        </w:rPr>
        <w:t>Google Books</w:t>
      </w:r>
      <w:r>
        <w:rPr>
          <w:color w:val="000000"/>
          <w:shd w:val="clear" w:color="auto" w:fill="FFFFFF"/>
        </w:rPr>
        <w:t xml:space="preserve"> (Princeton University Press, 2000), </w:t>
      </w:r>
    </w:p>
  </w:footnote>
  <w:footnote w:id="7">
    <w:p w14:paraId="72CC5071" w14:textId="1CCEA614" w:rsidR="000C7203" w:rsidRDefault="002F64AF">
      <w:pPr>
        <w:pStyle w:val="FootnoteText"/>
      </w:pPr>
      <w:r>
        <w:rPr>
          <w:rStyle w:val="FootnoteReference"/>
        </w:rPr>
        <w:footnoteRef/>
      </w:r>
      <w:r>
        <w:t xml:space="preserve"> Ibid,</w:t>
      </w:r>
      <w:r>
        <w:t xml:space="preserve"> 16</w:t>
      </w:r>
    </w:p>
  </w:footnote>
  <w:footnote w:id="8">
    <w:p w14:paraId="622151EA" w14:textId="1100A583" w:rsidR="000C7203" w:rsidRDefault="002F64AF">
      <w:pPr>
        <w:pStyle w:val="FootnoteText"/>
      </w:pPr>
      <w:r>
        <w:rPr>
          <w:rStyle w:val="FootnoteReference"/>
        </w:rPr>
        <w:footnoteRef/>
      </w:r>
      <w:r>
        <w:t xml:space="preserve"> </w:t>
      </w:r>
      <w:r>
        <w:rPr>
          <w:color w:val="000000"/>
          <w:shd w:val="clear" w:color="auto" w:fill="FFFFFF"/>
        </w:rPr>
        <w:t>David P. Billington and David P. Billington Jr, </w:t>
      </w:r>
      <w:r>
        <w:rPr>
          <w:i/>
          <w:iCs/>
          <w:color w:val="000000"/>
        </w:rPr>
        <w:t>Power, Speed, and Form: Engineers and the Making of the Twentieth Century</w:t>
      </w:r>
      <w:r>
        <w:rPr>
          <w:color w:val="000000"/>
          <w:shd w:val="clear" w:color="auto" w:fill="FFFFFF"/>
        </w:rPr>
        <w:t>, </w:t>
      </w:r>
      <w:r>
        <w:rPr>
          <w:i/>
          <w:iCs/>
          <w:color w:val="000000"/>
        </w:rPr>
        <w:t>Google Books</w:t>
      </w:r>
      <w:r>
        <w:rPr>
          <w:color w:val="000000"/>
          <w:shd w:val="clear" w:color="auto" w:fill="FFFFFF"/>
        </w:rPr>
        <w:t xml:space="preserve"> (Princeton University Press, 2013), </w:t>
      </w:r>
    </w:p>
  </w:footnote>
  <w:footnote w:id="9">
    <w:p w14:paraId="4BA7D886" w14:textId="39F95CA1" w:rsidR="000C7203" w:rsidRDefault="002F64AF">
      <w:pPr>
        <w:pStyle w:val="FootnoteText"/>
      </w:pPr>
      <w:r>
        <w:rPr>
          <w:rStyle w:val="FootnoteReference"/>
        </w:rPr>
        <w:footnoteRef/>
      </w:r>
      <w:r>
        <w:t xml:space="preserve"> Ibid, 15</w:t>
      </w:r>
    </w:p>
  </w:footnote>
  <w:footnote w:id="10">
    <w:p w14:paraId="3D4CDC1C" w14:textId="431F2F9E" w:rsidR="000C7203" w:rsidRDefault="002F64AF">
      <w:pPr>
        <w:pStyle w:val="FootnoteText"/>
      </w:pPr>
      <w:r>
        <w:rPr>
          <w:rStyle w:val="FootnoteReference"/>
        </w:rPr>
        <w:footnoteRef/>
      </w:r>
      <w:r>
        <w:t xml:space="preserve"> Ibid, 18</w:t>
      </w:r>
    </w:p>
  </w:footnote>
  <w:footnote w:id="11">
    <w:p w14:paraId="5196AB23" w14:textId="71E4A099" w:rsidR="000C7203" w:rsidRDefault="002F64AF">
      <w:pPr>
        <w:pStyle w:val="FootnoteText"/>
      </w:pPr>
      <w:r>
        <w:rPr>
          <w:rStyle w:val="FootnoteReference"/>
        </w:rPr>
        <w:footnoteRef/>
      </w:r>
      <w:r>
        <w:t xml:space="preserve"> </w:t>
      </w:r>
      <w:r>
        <w:rPr>
          <w:color w:val="000000"/>
          <w:shd w:val="clear" w:color="auto" w:fill="FFFFFF"/>
        </w:rPr>
        <w:t>Wilfried Ley, Klaus Wittmann, and Willi Hallmann, </w:t>
      </w:r>
      <w:r>
        <w:rPr>
          <w:i/>
          <w:iCs/>
          <w:color w:val="000000"/>
        </w:rPr>
        <w:t>Han</w:t>
      </w:r>
      <w:r>
        <w:rPr>
          <w:i/>
          <w:iCs/>
          <w:color w:val="000000"/>
        </w:rPr>
        <w:t>dbook of Space Technology</w:t>
      </w:r>
      <w:r>
        <w:rPr>
          <w:color w:val="000000"/>
          <w:shd w:val="clear" w:color="auto" w:fill="FFFFFF"/>
        </w:rPr>
        <w:t>, </w:t>
      </w:r>
      <w:r>
        <w:rPr>
          <w:i/>
          <w:iCs/>
          <w:color w:val="000000"/>
        </w:rPr>
        <w:t>Google Books</w:t>
      </w:r>
      <w:r>
        <w:rPr>
          <w:color w:val="000000"/>
          <w:shd w:val="clear" w:color="auto" w:fill="FFFFFF"/>
        </w:rPr>
        <w:t xml:space="preserve"> (John Wiley &amp; Sons, 2009), </w:t>
      </w:r>
    </w:p>
  </w:footnote>
  <w:footnote w:id="12">
    <w:p w14:paraId="59B12A07" w14:textId="24C8A613" w:rsidR="000C7203" w:rsidRDefault="002F64AF">
      <w:pPr>
        <w:pStyle w:val="FootnoteText"/>
      </w:pPr>
      <w:r>
        <w:rPr>
          <w:rStyle w:val="FootnoteReference"/>
        </w:rPr>
        <w:footnoteRef/>
      </w:r>
      <w:r>
        <w:t xml:space="preserve"> </w:t>
      </w:r>
      <w:r>
        <w:rPr>
          <w:color w:val="000000"/>
          <w:shd w:val="clear" w:color="auto" w:fill="FFFFFF"/>
        </w:rPr>
        <w:t>Philip Hayward, </w:t>
      </w:r>
      <w:r>
        <w:rPr>
          <w:i/>
          <w:iCs/>
          <w:color w:val="000000"/>
        </w:rPr>
        <w:t>Culture, Technology &amp; Creativity in the Late Twentieth Century</w:t>
      </w:r>
      <w:r>
        <w:rPr>
          <w:color w:val="000000"/>
          <w:shd w:val="clear" w:color="auto" w:fill="FFFFFF"/>
        </w:rPr>
        <w:t>, </w:t>
      </w:r>
      <w:r>
        <w:rPr>
          <w:i/>
          <w:iCs/>
          <w:color w:val="000000"/>
        </w:rPr>
        <w:t>Google Books</w:t>
      </w:r>
      <w:r>
        <w:rPr>
          <w:color w:val="000000"/>
          <w:shd w:val="clear" w:color="auto" w:fill="FFFFFF"/>
        </w:rPr>
        <w:t xml:space="preserve"> (Indiana University Press, 1990),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9216BF" w14:textId="7377EFB7" w:rsidR="00E81978" w:rsidRDefault="002F64AF">
    <w:pPr>
      <w:pStyle w:val="Header"/>
    </w:pP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D03B47">
      <w:rPr>
        <w:rStyle w:val="Strong"/>
        <w:noProof/>
      </w:rPr>
      <w:t>2</w:t>
    </w:r>
    <w:r>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869E7" w14:textId="3275C4D9" w:rsidR="00E81978" w:rsidRDefault="002F64AF">
    <w:pPr>
      <w:pStyle w:val="Header"/>
      <w:rPr>
        <w:rStyle w:val="Strong"/>
      </w:rPr>
    </w:pP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D03B47">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2MzIwtzQ1tbA0tTRS0lEKTi0uzszPAykwrAUAKSdh1iwAAAA="/>
  </w:docVars>
  <w:rsids>
    <w:rsidRoot w:val="00AD6FEE"/>
    <w:rsid w:val="00010F77"/>
    <w:rsid w:val="00023B61"/>
    <w:rsid w:val="00071D6B"/>
    <w:rsid w:val="00087882"/>
    <w:rsid w:val="000A7109"/>
    <w:rsid w:val="000B4060"/>
    <w:rsid w:val="000C7203"/>
    <w:rsid w:val="000D3F41"/>
    <w:rsid w:val="001343C3"/>
    <w:rsid w:val="0018699E"/>
    <w:rsid w:val="00223A5C"/>
    <w:rsid w:val="002401D2"/>
    <w:rsid w:val="00241C85"/>
    <w:rsid w:val="0024566B"/>
    <w:rsid w:val="0027720F"/>
    <w:rsid w:val="002F64AF"/>
    <w:rsid w:val="00334309"/>
    <w:rsid w:val="00355DCA"/>
    <w:rsid w:val="003563B1"/>
    <w:rsid w:val="003B0232"/>
    <w:rsid w:val="003C6309"/>
    <w:rsid w:val="003F1E96"/>
    <w:rsid w:val="00403E11"/>
    <w:rsid w:val="00445BEB"/>
    <w:rsid w:val="004670D8"/>
    <w:rsid w:val="00502473"/>
    <w:rsid w:val="00507E99"/>
    <w:rsid w:val="00551A02"/>
    <w:rsid w:val="005534FA"/>
    <w:rsid w:val="005D3A03"/>
    <w:rsid w:val="006413B4"/>
    <w:rsid w:val="006768C5"/>
    <w:rsid w:val="007D3418"/>
    <w:rsid w:val="008002C0"/>
    <w:rsid w:val="00843609"/>
    <w:rsid w:val="00886E53"/>
    <w:rsid w:val="008C5323"/>
    <w:rsid w:val="00930311"/>
    <w:rsid w:val="009A6A3B"/>
    <w:rsid w:val="009D6892"/>
    <w:rsid w:val="00A433DA"/>
    <w:rsid w:val="00A448C4"/>
    <w:rsid w:val="00A628FF"/>
    <w:rsid w:val="00AD6FEE"/>
    <w:rsid w:val="00B47E4C"/>
    <w:rsid w:val="00B648B8"/>
    <w:rsid w:val="00B823AA"/>
    <w:rsid w:val="00BA45DB"/>
    <w:rsid w:val="00BA61EA"/>
    <w:rsid w:val="00BF210A"/>
    <w:rsid w:val="00BF2676"/>
    <w:rsid w:val="00BF4184"/>
    <w:rsid w:val="00C044C1"/>
    <w:rsid w:val="00C0601E"/>
    <w:rsid w:val="00C31D30"/>
    <w:rsid w:val="00CD6E39"/>
    <w:rsid w:val="00CE27DA"/>
    <w:rsid w:val="00CF6E91"/>
    <w:rsid w:val="00D03B47"/>
    <w:rsid w:val="00D20EA3"/>
    <w:rsid w:val="00D45A8A"/>
    <w:rsid w:val="00D85B68"/>
    <w:rsid w:val="00D94C55"/>
    <w:rsid w:val="00DC3A32"/>
    <w:rsid w:val="00DD176D"/>
    <w:rsid w:val="00DD2677"/>
    <w:rsid w:val="00DD5BD8"/>
    <w:rsid w:val="00DE3D67"/>
    <w:rsid w:val="00DF093D"/>
    <w:rsid w:val="00E6004D"/>
    <w:rsid w:val="00E81978"/>
    <w:rsid w:val="00E93A6E"/>
    <w:rsid w:val="00F075D7"/>
    <w:rsid w:val="00F2201F"/>
    <w:rsid w:val="00F379B7"/>
    <w:rsid w:val="00F525FA"/>
    <w:rsid w:val="00F744D8"/>
    <w:rsid w:val="00FC50B9"/>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616D9F-3EC4-4AEC-A1B7-9230722FD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9</Pages>
  <Words>1504</Words>
  <Characters>8576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2020-05-19T21:28:00Z</dcterms:created>
  <dcterms:modified xsi:type="dcterms:W3CDTF">2020-05-19T21:28:00Z</dcterms:modified>
</cp:coreProperties>
</file>